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0"/>
        </w:tabs>
        <w:spacing w:line="560" w:lineRule="exact"/>
        <w:jc w:val="left"/>
        <w:rPr>
          <w:rFonts w:hint="eastAsia" w:eastAsia="黑体"/>
          <w:sz w:val="28"/>
          <w:szCs w:val="28"/>
          <w:lang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eastAsia="方正小标宋简体"/>
          <w:sz w:val="28"/>
          <w:szCs w:val="28"/>
          <w:lang w:val="en-US" w:eastAsia="zh-CN"/>
        </w:rPr>
        <w:t>1</w:t>
      </w:r>
    </w:p>
    <w:p>
      <w:pPr>
        <w:tabs>
          <w:tab w:val="left" w:pos="0"/>
        </w:tabs>
        <w:spacing w:line="56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教育移动应用使用者备案信息表</w:t>
      </w:r>
      <w:bookmarkStart w:id="0" w:name="_GoBack"/>
      <w:bookmarkEnd w:id="0"/>
    </w:p>
    <w:p>
      <w:pPr>
        <w:tabs>
          <w:tab w:val="left" w:pos="0"/>
        </w:tabs>
        <w:spacing w:line="560" w:lineRule="exact"/>
        <w:jc w:val="left"/>
        <w:rPr>
          <w:rFonts w:eastAsia="仿宋_GB2312"/>
          <w:sz w:val="28"/>
          <w:szCs w:val="28"/>
        </w:rPr>
      </w:pPr>
    </w:p>
    <w:tbl>
      <w:tblPr>
        <w:tblStyle w:val="4"/>
        <w:tblW w:w="8902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1871"/>
        <w:gridCol w:w="2665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2" w:type="dxa"/>
            <w:gridSpan w:val="4"/>
          </w:tcPr>
          <w:p>
            <w:pPr>
              <w:tabs>
                <w:tab w:val="left" w:pos="0"/>
              </w:tabs>
              <w:spacing w:line="360" w:lineRule="auto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</w:rPr>
              <w:t>主管单位</w:t>
            </w:r>
            <w:r>
              <w:rPr>
                <w:rFonts w:eastAsia="黑体"/>
                <w:sz w:val="28"/>
                <w:szCs w:val="28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单位名称</w:t>
            </w:r>
          </w:p>
        </w:tc>
        <w:tc>
          <w:tcPr>
            <w:tcW w:w="1871" w:type="dxa"/>
          </w:tcPr>
          <w:p>
            <w:pPr>
              <w:tabs>
                <w:tab w:val="left" w:pos="0"/>
              </w:tabs>
              <w:spacing w:line="360" w:lineRule="auto"/>
              <w:rPr>
                <w:rFonts w:eastAsia="仿宋_GB2312"/>
                <w:color w:val="D0CECE" w:themeColor="background2" w:themeShade="E6"/>
                <w:sz w:val="28"/>
                <w:szCs w:val="28"/>
              </w:rPr>
            </w:pPr>
            <w:r>
              <w:rPr>
                <w:rFonts w:hint="eastAsia" w:eastAsia="仿宋_GB2312"/>
                <w:color w:val="D0CECE" w:themeColor="background2" w:themeShade="E6"/>
                <w:sz w:val="28"/>
                <w:szCs w:val="28"/>
              </w:rPr>
              <w:t>海南经贸职业技术学院</w:t>
            </w:r>
          </w:p>
        </w:tc>
        <w:tc>
          <w:tcPr>
            <w:tcW w:w="2665" w:type="dxa"/>
          </w:tcPr>
          <w:p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单位性质</w:t>
            </w:r>
          </w:p>
        </w:tc>
        <w:tc>
          <w:tcPr>
            <w:tcW w:w="2126" w:type="dxa"/>
          </w:tcPr>
          <w:p>
            <w:pPr>
              <w:tabs>
                <w:tab w:val="left" w:pos="0"/>
              </w:tabs>
              <w:spacing w:line="360" w:lineRule="auto"/>
              <w:rPr>
                <w:rFonts w:eastAsia="仿宋_GB2312"/>
                <w:color w:val="D0CECE" w:themeColor="background2" w:themeShade="E6"/>
                <w:sz w:val="28"/>
                <w:szCs w:val="28"/>
              </w:rPr>
            </w:pPr>
            <w:r>
              <w:rPr>
                <w:rFonts w:hint="eastAsia" w:eastAsia="仿宋_GB2312"/>
                <w:color w:val="D0CECE" w:themeColor="background2" w:themeShade="E6"/>
                <w:sz w:val="28"/>
                <w:szCs w:val="28"/>
              </w:rPr>
              <w:t>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</w:t>
            </w:r>
            <w:r>
              <w:rPr>
                <w:rFonts w:eastAsia="仿宋_GB2312"/>
                <w:sz w:val="28"/>
                <w:szCs w:val="28"/>
              </w:rPr>
              <w:t>有效证明</w:t>
            </w:r>
          </w:p>
        </w:tc>
        <w:tc>
          <w:tcPr>
            <w:tcW w:w="1871" w:type="dxa"/>
          </w:tcPr>
          <w:p>
            <w:pPr>
              <w:tabs>
                <w:tab w:val="left" w:pos="0"/>
              </w:tabs>
              <w:spacing w:line="360" w:lineRule="auto"/>
              <w:rPr>
                <w:rFonts w:hint="eastAsia" w:eastAsia="仿宋_GB2312"/>
                <w:color w:val="D0CECE" w:themeColor="background2" w:themeShade="E6"/>
                <w:sz w:val="28"/>
                <w:szCs w:val="28"/>
              </w:rPr>
            </w:pPr>
            <w:r>
              <w:rPr>
                <w:rFonts w:hint="eastAsia" w:eastAsia="仿宋_GB2312"/>
                <w:color w:val="D0CECE" w:themeColor="background2" w:themeShade="E6"/>
                <w:sz w:val="28"/>
                <w:szCs w:val="28"/>
              </w:rPr>
              <w:t>事业单位法人证书</w:t>
            </w:r>
          </w:p>
          <w:p>
            <w:pPr>
              <w:tabs>
                <w:tab w:val="left" w:pos="0"/>
              </w:tabs>
              <w:spacing w:line="360" w:lineRule="auto"/>
              <w:rPr>
                <w:rFonts w:eastAsia="仿宋_GB2312"/>
                <w:color w:val="D0CECE" w:themeColor="background2" w:themeShade="E6"/>
                <w:sz w:val="28"/>
                <w:szCs w:val="28"/>
              </w:rPr>
            </w:pPr>
            <w:r>
              <w:rPr>
                <w:rFonts w:hint="eastAsia" w:eastAsia="仿宋_GB2312"/>
                <w:color w:val="D0CECE" w:themeColor="background2" w:themeShade="E6"/>
                <w:sz w:val="28"/>
                <w:szCs w:val="28"/>
              </w:rPr>
              <w:t>12460000428201110J</w:t>
            </w:r>
          </w:p>
        </w:tc>
        <w:tc>
          <w:tcPr>
            <w:tcW w:w="2665" w:type="dxa"/>
          </w:tcPr>
          <w:p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住所地</w:t>
            </w:r>
          </w:p>
        </w:tc>
        <w:tc>
          <w:tcPr>
            <w:tcW w:w="2126" w:type="dxa"/>
          </w:tcPr>
          <w:p>
            <w:pPr>
              <w:tabs>
                <w:tab w:val="left" w:pos="0"/>
              </w:tabs>
              <w:spacing w:line="360" w:lineRule="auto"/>
              <w:rPr>
                <w:rFonts w:eastAsia="仿宋_GB2312"/>
                <w:color w:val="D0CECE" w:themeColor="background2" w:themeShade="E6"/>
                <w:sz w:val="28"/>
                <w:szCs w:val="28"/>
              </w:rPr>
            </w:pPr>
            <w:r>
              <w:rPr>
                <w:rFonts w:hint="eastAsia" w:eastAsia="仿宋_GB2312"/>
                <w:color w:val="D0CECE" w:themeColor="background2" w:themeShade="E6"/>
                <w:sz w:val="28"/>
                <w:szCs w:val="28"/>
              </w:rPr>
              <w:t>海口市桂林洋高校区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法人信息</w:t>
            </w:r>
          </w:p>
        </w:tc>
        <w:tc>
          <w:tcPr>
            <w:tcW w:w="1871" w:type="dxa"/>
          </w:tcPr>
          <w:p>
            <w:pPr>
              <w:tabs>
                <w:tab w:val="left" w:pos="0"/>
              </w:tabs>
              <w:spacing w:line="360" w:lineRule="auto"/>
              <w:rPr>
                <w:rFonts w:eastAsia="仿宋_GB2312"/>
                <w:color w:val="D0CECE" w:themeColor="background2" w:themeShade="E6"/>
                <w:sz w:val="28"/>
                <w:szCs w:val="28"/>
              </w:rPr>
            </w:pPr>
            <w:r>
              <w:rPr>
                <w:rFonts w:hint="eastAsia" w:eastAsia="仿宋_GB2312"/>
                <w:color w:val="D0CECE" w:themeColor="background2" w:themeShade="E6"/>
                <w:sz w:val="28"/>
                <w:szCs w:val="28"/>
              </w:rPr>
              <w:t>黄景贵</w:t>
            </w:r>
          </w:p>
        </w:tc>
        <w:tc>
          <w:tcPr>
            <w:tcW w:w="2665" w:type="dxa"/>
          </w:tcPr>
          <w:p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联系人信息</w:t>
            </w:r>
          </w:p>
        </w:tc>
        <w:tc>
          <w:tcPr>
            <w:tcW w:w="2126" w:type="dxa"/>
          </w:tcPr>
          <w:p>
            <w:pPr>
              <w:tabs>
                <w:tab w:val="left" w:pos="0"/>
              </w:tabs>
              <w:spacing w:line="360" w:lineRule="auto"/>
              <w:rPr>
                <w:rFonts w:eastAsia="仿宋_GB2312"/>
                <w:color w:val="D0CECE" w:themeColor="background2" w:themeShade="E6"/>
                <w:sz w:val="28"/>
                <w:szCs w:val="28"/>
              </w:rPr>
            </w:pPr>
            <w:r>
              <w:rPr>
                <w:rFonts w:hint="eastAsia" w:eastAsia="仿宋_GB2312"/>
                <w:color w:val="D0CECE" w:themeColor="background2" w:themeShade="E6"/>
                <w:sz w:val="28"/>
                <w:szCs w:val="28"/>
              </w:rPr>
              <w:t>王  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2" w:type="dxa"/>
            <w:gridSpan w:val="4"/>
          </w:tcPr>
          <w:p>
            <w:pPr>
              <w:tabs>
                <w:tab w:val="left" w:pos="0"/>
              </w:tabs>
              <w:spacing w:line="360" w:lineRule="auto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教育</w:t>
            </w:r>
            <w:r>
              <w:rPr>
                <w:rFonts w:ascii="黑体" w:hAnsi="黑体" w:eastAsia="黑体"/>
                <w:sz w:val="28"/>
                <w:szCs w:val="28"/>
              </w:rPr>
              <w:t>移动应用信息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（一个</w:t>
            </w:r>
            <w:r>
              <w:rPr>
                <w:rFonts w:ascii="黑体" w:hAnsi="黑体" w:eastAsia="黑体"/>
                <w:sz w:val="28"/>
                <w:szCs w:val="28"/>
              </w:rPr>
              <w:t>应用填一次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所用</w:t>
            </w:r>
            <w:r>
              <w:rPr>
                <w:rFonts w:eastAsia="仿宋_GB2312"/>
                <w:sz w:val="28"/>
                <w:szCs w:val="28"/>
              </w:rPr>
              <w:t>应用</w:t>
            </w:r>
          </w:p>
        </w:tc>
        <w:tc>
          <w:tcPr>
            <w:tcW w:w="1871" w:type="dxa"/>
          </w:tcPr>
          <w:p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color w:val="D0CECE" w:themeColor="background2" w:themeShade="E6"/>
                <w:sz w:val="28"/>
                <w:szCs w:val="28"/>
              </w:rPr>
              <w:t>学付宝</w:t>
            </w:r>
          </w:p>
        </w:tc>
        <w:tc>
          <w:tcPr>
            <w:tcW w:w="2665" w:type="dxa"/>
          </w:tcPr>
          <w:p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使用对象</w:t>
            </w:r>
          </w:p>
        </w:tc>
        <w:tc>
          <w:tcPr>
            <w:tcW w:w="2126" w:type="dxa"/>
          </w:tcPr>
          <w:p>
            <w:pPr>
              <w:tabs>
                <w:tab w:val="left" w:pos="0"/>
              </w:tabs>
              <w:spacing w:line="360" w:lineRule="auto"/>
              <w:rPr>
                <w:rFonts w:eastAsia="仿宋_GB2312"/>
                <w:color w:val="D0CECE" w:themeColor="background2" w:themeShade="E6"/>
                <w:sz w:val="28"/>
                <w:szCs w:val="28"/>
              </w:rPr>
            </w:pPr>
            <w:r>
              <w:rPr>
                <w:rFonts w:eastAsia="仿宋_GB2312"/>
                <w:color w:val="D0CECE" w:themeColor="background2" w:themeShade="E6"/>
                <w:sz w:val="28"/>
                <w:szCs w:val="28"/>
              </w:rPr>
              <w:t>教师、学生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使用</w:t>
            </w:r>
            <w:r>
              <w:rPr>
                <w:rFonts w:eastAsia="仿宋_GB2312"/>
                <w:sz w:val="28"/>
                <w:szCs w:val="28"/>
              </w:rPr>
              <w:t>场景</w:t>
            </w:r>
          </w:p>
        </w:tc>
        <w:tc>
          <w:tcPr>
            <w:tcW w:w="6662" w:type="dxa"/>
            <w:gridSpan w:val="3"/>
          </w:tcPr>
          <w:p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color w:val="D0CECE" w:themeColor="background2" w:themeShade="E6"/>
                <w:sz w:val="28"/>
                <w:szCs w:val="28"/>
              </w:rPr>
              <w:t>校园一卡通学生缴费、教职工缴费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使用</w:t>
            </w:r>
            <w:r>
              <w:rPr>
                <w:rFonts w:eastAsia="仿宋_GB2312"/>
                <w:sz w:val="28"/>
                <w:szCs w:val="28"/>
              </w:rPr>
              <w:t>性质</w:t>
            </w:r>
          </w:p>
        </w:tc>
        <w:tc>
          <w:tcPr>
            <w:tcW w:w="6662" w:type="dxa"/>
            <w:gridSpan w:val="3"/>
          </w:tcPr>
          <w:p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color w:val="D0CECE" w:themeColor="background2" w:themeShade="E6"/>
                <w:sz w:val="18"/>
                <w:szCs w:val="18"/>
              </w:rPr>
              <w:sym w:font="Wingdings 2" w:char="F052"/>
            </w:r>
            <w:r>
              <w:rPr>
                <w:rFonts w:hint="eastAsia" w:eastAsia="仿宋_GB2312"/>
                <w:sz w:val="28"/>
                <w:szCs w:val="28"/>
              </w:rPr>
              <w:t>要求使用□推荐</w:t>
            </w:r>
            <w:r>
              <w:rPr>
                <w:rFonts w:eastAsia="仿宋_GB2312"/>
                <w:sz w:val="28"/>
                <w:szCs w:val="28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是有</w:t>
            </w:r>
            <w:r>
              <w:rPr>
                <w:rFonts w:eastAsia="仿宋_GB2312"/>
                <w:sz w:val="28"/>
                <w:szCs w:val="28"/>
              </w:rPr>
              <w:t>集体决策</w:t>
            </w:r>
          </w:p>
        </w:tc>
        <w:tc>
          <w:tcPr>
            <w:tcW w:w="1871" w:type="dxa"/>
          </w:tcPr>
          <w:p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color w:val="D0CECE" w:themeColor="background2" w:themeShade="E6"/>
                <w:sz w:val="18"/>
                <w:szCs w:val="18"/>
              </w:rPr>
              <w:sym w:font="Wingdings 2" w:char="F052"/>
            </w:r>
            <w:r>
              <w:rPr>
                <w:rFonts w:hint="eastAsia" w:eastAsia="仿宋_GB2312"/>
                <w:sz w:val="28"/>
                <w:szCs w:val="28"/>
              </w:rPr>
              <w:t>是□否</w:t>
            </w:r>
          </w:p>
        </w:tc>
        <w:tc>
          <w:tcPr>
            <w:tcW w:w="2665" w:type="dxa"/>
          </w:tcPr>
          <w:p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是否签订</w:t>
            </w:r>
            <w:r>
              <w:rPr>
                <w:rFonts w:eastAsia="仿宋_GB2312"/>
                <w:sz w:val="28"/>
                <w:szCs w:val="28"/>
              </w:rPr>
              <w:t>协议</w:t>
            </w:r>
            <w:r>
              <w:rPr>
                <w:rFonts w:hint="eastAsia" w:eastAsia="仿宋_GB2312"/>
                <w:sz w:val="28"/>
                <w:szCs w:val="28"/>
              </w:rPr>
              <w:t>/合同</w:t>
            </w:r>
          </w:p>
        </w:tc>
        <w:tc>
          <w:tcPr>
            <w:tcW w:w="2126" w:type="dxa"/>
          </w:tcPr>
          <w:p>
            <w:pPr>
              <w:tabs>
                <w:tab w:val="left" w:pos="0"/>
              </w:tabs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color w:val="D0CECE" w:themeColor="background2" w:themeShade="E6"/>
                <w:sz w:val="18"/>
                <w:szCs w:val="18"/>
              </w:rPr>
              <w:sym w:font="Wingdings 2" w:char="F052"/>
            </w:r>
            <w:r>
              <w:rPr>
                <w:rFonts w:hint="eastAsia" w:eastAsia="仿宋_GB2312"/>
                <w:sz w:val="28"/>
                <w:szCs w:val="28"/>
              </w:rPr>
              <w:t>是□否</w:t>
            </w:r>
          </w:p>
        </w:tc>
      </w:tr>
    </w:tbl>
    <w:p>
      <w:pPr>
        <w:spacing w:line="560" w:lineRule="exact"/>
        <w:ind w:left="141" w:leftChars="67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注：</w:t>
      </w:r>
      <w:r>
        <w:rPr>
          <w:rFonts w:eastAsia="仿宋_GB2312"/>
          <w:sz w:val="28"/>
          <w:szCs w:val="28"/>
        </w:rPr>
        <w:t>1.</w:t>
      </w:r>
      <w:r>
        <w:rPr>
          <w:rFonts w:hint="eastAsia" w:eastAsia="仿宋_GB2312"/>
          <w:sz w:val="28"/>
          <w:szCs w:val="28"/>
        </w:rPr>
        <w:t>单位性质分为：教育行政部门、直属单位、学校。</w:t>
      </w:r>
    </w:p>
    <w:p>
      <w:pPr>
        <w:spacing w:line="560" w:lineRule="exact"/>
        <w:ind w:left="141" w:leftChars="67" w:firstLine="560" w:firstLineChars="200"/>
        <w:rPr>
          <w:rFonts w:eastAsia="仿宋_GB2312"/>
          <w:sz w:val="28"/>
          <w:szCs w:val="32"/>
        </w:rPr>
      </w:pPr>
      <w:r>
        <w:rPr>
          <w:rFonts w:eastAsia="仿宋_GB2312"/>
          <w:sz w:val="28"/>
          <w:szCs w:val="28"/>
        </w:rPr>
        <w:t>2.</w:t>
      </w:r>
      <w:r>
        <w:rPr>
          <w:rFonts w:hint="eastAsia" w:eastAsia="仿宋_GB2312"/>
          <w:sz w:val="28"/>
          <w:szCs w:val="28"/>
        </w:rPr>
        <w:t>单位有效证明优先</w:t>
      </w:r>
      <w:r>
        <w:rPr>
          <w:rFonts w:eastAsia="仿宋_GB2312"/>
          <w:sz w:val="28"/>
          <w:szCs w:val="28"/>
        </w:rPr>
        <w:t>为</w:t>
      </w:r>
      <w:r>
        <w:rPr>
          <w:rFonts w:hint="eastAsia" w:eastAsia="仿宋_GB2312"/>
          <w:sz w:val="28"/>
          <w:szCs w:val="32"/>
        </w:rPr>
        <w:t>统一社会信用代码证书。</w:t>
      </w:r>
      <w:r>
        <w:rPr>
          <w:rFonts w:eastAsia="仿宋_GB2312"/>
          <w:sz w:val="28"/>
          <w:szCs w:val="32"/>
        </w:rPr>
        <w:t>没有</w:t>
      </w:r>
      <w:r>
        <w:rPr>
          <w:rFonts w:hint="eastAsia" w:eastAsia="仿宋_GB2312"/>
          <w:sz w:val="28"/>
          <w:szCs w:val="32"/>
        </w:rPr>
        <w:t>统一社会信用代码证书可用统一</w:t>
      </w:r>
      <w:r>
        <w:rPr>
          <w:rFonts w:eastAsia="仿宋_GB2312"/>
          <w:sz w:val="28"/>
          <w:szCs w:val="32"/>
        </w:rPr>
        <w:t>机构代码。</w:t>
      </w:r>
    </w:p>
    <w:p>
      <w:pPr>
        <w:spacing w:line="560" w:lineRule="exact"/>
        <w:ind w:left="141" w:leftChars="67" w:firstLine="560" w:firstLineChars="200"/>
        <w:rPr>
          <w:rFonts w:eastAsia="仿宋_GB2312"/>
          <w:sz w:val="28"/>
          <w:szCs w:val="32"/>
        </w:rPr>
      </w:pPr>
      <w:r>
        <w:rPr>
          <w:rFonts w:eastAsia="仿宋_GB2312"/>
          <w:sz w:val="28"/>
          <w:szCs w:val="32"/>
        </w:rPr>
        <w:t>3.</w:t>
      </w:r>
      <w:r>
        <w:rPr>
          <w:rFonts w:hint="eastAsia" w:eastAsia="仿宋_GB2312"/>
          <w:sz w:val="28"/>
          <w:szCs w:val="32"/>
        </w:rPr>
        <w:t>使用</w:t>
      </w:r>
      <w:r>
        <w:rPr>
          <w:rFonts w:eastAsia="仿宋_GB2312"/>
          <w:sz w:val="28"/>
          <w:szCs w:val="32"/>
        </w:rPr>
        <w:t>对象包括教师、学生、家长。学生</w:t>
      </w:r>
      <w:r>
        <w:rPr>
          <w:rFonts w:hint="eastAsia" w:eastAsia="仿宋_GB2312"/>
          <w:sz w:val="28"/>
          <w:szCs w:val="32"/>
        </w:rPr>
        <w:t>需</w:t>
      </w:r>
      <w:r>
        <w:rPr>
          <w:rFonts w:eastAsia="仿宋_GB2312"/>
          <w:sz w:val="28"/>
          <w:szCs w:val="32"/>
        </w:rPr>
        <w:t>填写教育阶段</w:t>
      </w:r>
      <w:r>
        <w:rPr>
          <w:rFonts w:hint="eastAsia" w:eastAsia="仿宋_GB2312"/>
          <w:sz w:val="28"/>
          <w:szCs w:val="32"/>
        </w:rPr>
        <w:t>。</w:t>
      </w:r>
    </w:p>
    <w:p>
      <w:pPr>
        <w:spacing w:line="560" w:lineRule="exact"/>
        <w:ind w:left="141" w:leftChars="67" w:firstLine="560" w:firstLineChars="200"/>
        <w:rPr>
          <w:rFonts w:eastAsia="仿宋_GB2312"/>
          <w:sz w:val="28"/>
          <w:szCs w:val="32"/>
        </w:rPr>
      </w:pPr>
      <w:r>
        <w:rPr>
          <w:rFonts w:hint="eastAsia" w:eastAsia="仿宋_GB2312"/>
          <w:sz w:val="28"/>
          <w:szCs w:val="32"/>
        </w:rPr>
        <w:t>4.使用</w:t>
      </w:r>
      <w:r>
        <w:rPr>
          <w:rFonts w:eastAsia="仿宋_GB2312"/>
          <w:sz w:val="28"/>
          <w:szCs w:val="32"/>
        </w:rPr>
        <w:t>场景视不同</w:t>
      </w:r>
      <w:r>
        <w:rPr>
          <w:rFonts w:hint="eastAsia" w:eastAsia="仿宋_GB2312"/>
          <w:sz w:val="28"/>
          <w:szCs w:val="32"/>
        </w:rPr>
        <w:t>用途</w:t>
      </w:r>
      <w:r>
        <w:rPr>
          <w:rFonts w:eastAsia="仿宋_GB2312"/>
          <w:sz w:val="28"/>
          <w:szCs w:val="32"/>
        </w:rPr>
        <w:t>的应用</w:t>
      </w:r>
      <w:r>
        <w:rPr>
          <w:rFonts w:hint="eastAsia" w:eastAsia="仿宋_GB2312"/>
          <w:sz w:val="28"/>
          <w:szCs w:val="32"/>
        </w:rPr>
        <w:t>进行</w:t>
      </w:r>
      <w:r>
        <w:rPr>
          <w:rFonts w:eastAsia="仿宋_GB2312"/>
          <w:sz w:val="28"/>
          <w:szCs w:val="32"/>
        </w:rPr>
        <w:t>调整</w:t>
      </w:r>
      <w:r>
        <w:rPr>
          <w:rFonts w:hint="eastAsia" w:eastAsia="仿宋_GB2312"/>
          <w:sz w:val="28"/>
          <w:szCs w:val="32"/>
        </w:rPr>
        <w:t>，</w:t>
      </w:r>
      <w:r>
        <w:rPr>
          <w:rFonts w:eastAsia="仿宋_GB2312"/>
          <w:sz w:val="28"/>
          <w:szCs w:val="32"/>
        </w:rPr>
        <w:t>以系统</w:t>
      </w:r>
      <w:r>
        <w:rPr>
          <w:rFonts w:hint="eastAsia" w:eastAsia="仿宋_GB2312"/>
          <w:sz w:val="28"/>
          <w:szCs w:val="32"/>
        </w:rPr>
        <w:t>选项</w:t>
      </w:r>
      <w:r>
        <w:rPr>
          <w:rFonts w:eastAsia="仿宋_GB2312"/>
          <w:sz w:val="28"/>
          <w:szCs w:val="32"/>
        </w:rPr>
        <w:t>为准。</w:t>
      </w:r>
    </w:p>
    <w:p>
      <w:pPr>
        <w:spacing w:line="560" w:lineRule="exact"/>
        <w:ind w:left="141" w:leftChars="67" w:firstLine="560" w:firstLineChars="200"/>
        <w:rPr>
          <w:rFonts w:hint="default" w:eastAsia="仿宋_GB2312"/>
          <w:sz w:val="28"/>
          <w:szCs w:val="32"/>
          <w:lang w:val="en-US" w:eastAsia="zh-CN"/>
        </w:rPr>
      </w:pPr>
      <w:r>
        <w:rPr>
          <w:rFonts w:eastAsia="仿宋_GB2312"/>
          <w:sz w:val="28"/>
          <w:szCs w:val="32"/>
        </w:rPr>
        <w:t>5.</w:t>
      </w:r>
      <w:r>
        <w:rPr>
          <w:rFonts w:hint="eastAsia" w:eastAsia="仿宋_GB2312"/>
          <w:sz w:val="28"/>
          <w:szCs w:val="32"/>
        </w:rPr>
        <w:t>要求</w:t>
      </w:r>
      <w:r>
        <w:rPr>
          <w:rFonts w:eastAsia="仿宋_GB2312"/>
          <w:sz w:val="28"/>
          <w:szCs w:val="32"/>
        </w:rPr>
        <w:t>使用的教育移动应用需</w:t>
      </w:r>
      <w:r>
        <w:rPr>
          <w:rFonts w:hint="eastAsia" w:eastAsia="仿宋_GB2312"/>
          <w:sz w:val="28"/>
          <w:szCs w:val="32"/>
        </w:rPr>
        <w:t>经</w:t>
      </w:r>
      <w:r>
        <w:rPr>
          <w:rFonts w:eastAsia="仿宋_GB2312"/>
          <w:sz w:val="28"/>
          <w:szCs w:val="32"/>
        </w:rPr>
        <w:t>集体决策</w:t>
      </w:r>
      <w:r>
        <w:rPr>
          <w:rFonts w:hint="eastAsia" w:eastAsia="仿宋_GB2312"/>
          <w:sz w:val="28"/>
          <w:szCs w:val="32"/>
        </w:rPr>
        <w:t>，</w:t>
      </w:r>
      <w:r>
        <w:rPr>
          <w:rFonts w:eastAsia="仿宋_GB2312"/>
          <w:sz w:val="28"/>
          <w:szCs w:val="32"/>
        </w:rPr>
        <w:t>并签订协议</w:t>
      </w:r>
      <w:r>
        <w:rPr>
          <w:rFonts w:hint="eastAsia" w:eastAsia="仿宋_GB2312"/>
          <w:sz w:val="28"/>
          <w:szCs w:val="32"/>
        </w:rPr>
        <w:t>或</w:t>
      </w:r>
      <w:r>
        <w:rPr>
          <w:rFonts w:eastAsia="仿宋_GB2312"/>
          <w:sz w:val="28"/>
          <w:szCs w:val="32"/>
        </w:rPr>
        <w:t>合同。</w:t>
      </w:r>
      <w:r>
        <w:rPr>
          <w:rFonts w:hint="eastAsia" w:eastAsia="仿宋_GB2312"/>
          <w:sz w:val="28"/>
          <w:szCs w:val="32"/>
        </w:rPr>
        <w:t>推荐使用</w:t>
      </w:r>
      <w:r>
        <w:rPr>
          <w:rFonts w:eastAsia="仿宋_GB2312"/>
          <w:sz w:val="28"/>
          <w:szCs w:val="32"/>
        </w:rPr>
        <w:t>的教育移动应用不得与教学和管理行为挂钩。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2D0"/>
    <w:rsid w:val="00023B8E"/>
    <w:rsid w:val="00131B47"/>
    <w:rsid w:val="00132FBD"/>
    <w:rsid w:val="00193223"/>
    <w:rsid w:val="001E7004"/>
    <w:rsid w:val="00232C3C"/>
    <w:rsid w:val="00237065"/>
    <w:rsid w:val="002C41DC"/>
    <w:rsid w:val="002C7F66"/>
    <w:rsid w:val="0034004A"/>
    <w:rsid w:val="00351FD6"/>
    <w:rsid w:val="00370531"/>
    <w:rsid w:val="003D3836"/>
    <w:rsid w:val="0040055D"/>
    <w:rsid w:val="00432B0E"/>
    <w:rsid w:val="00465760"/>
    <w:rsid w:val="00484F69"/>
    <w:rsid w:val="00501219"/>
    <w:rsid w:val="00554F91"/>
    <w:rsid w:val="00596601"/>
    <w:rsid w:val="005975BD"/>
    <w:rsid w:val="005C7059"/>
    <w:rsid w:val="005D0E36"/>
    <w:rsid w:val="0068388D"/>
    <w:rsid w:val="007F3E64"/>
    <w:rsid w:val="00804966"/>
    <w:rsid w:val="00892310"/>
    <w:rsid w:val="008A7FA3"/>
    <w:rsid w:val="009B6BF9"/>
    <w:rsid w:val="00A30E43"/>
    <w:rsid w:val="00A4117F"/>
    <w:rsid w:val="00A6768E"/>
    <w:rsid w:val="00AD76E7"/>
    <w:rsid w:val="00B05B23"/>
    <w:rsid w:val="00B06DAB"/>
    <w:rsid w:val="00B07622"/>
    <w:rsid w:val="00B1148B"/>
    <w:rsid w:val="00B70BC1"/>
    <w:rsid w:val="00B86660"/>
    <w:rsid w:val="00BA06A5"/>
    <w:rsid w:val="00BC039E"/>
    <w:rsid w:val="00BF3E33"/>
    <w:rsid w:val="00D50DB1"/>
    <w:rsid w:val="00D512D0"/>
    <w:rsid w:val="00DC6713"/>
    <w:rsid w:val="00E5425D"/>
    <w:rsid w:val="00ED7715"/>
    <w:rsid w:val="00EE6585"/>
    <w:rsid w:val="00F82D40"/>
    <w:rsid w:val="15934085"/>
    <w:rsid w:val="1D25594C"/>
    <w:rsid w:val="1E861BE7"/>
    <w:rsid w:val="45BB335B"/>
    <w:rsid w:val="73566B94"/>
    <w:rsid w:val="758740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www.hceb.edu.cn</Company>
  <Pages>2</Pages>
  <Words>116</Words>
  <Characters>667</Characters>
  <Lines>5</Lines>
  <Paragraphs>1</Paragraphs>
  <TotalTime>1</TotalTime>
  <ScaleCrop>false</ScaleCrop>
  <LinksUpToDate>false</LinksUpToDate>
  <CharactersWithSpaces>782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2019-12-02T06:36:00Z</dcterms:created>
  <dc:creator>wlzx-zzh</dc:creator>
  <cp:lastModifiedBy>王忠</cp:lastModifiedBy>
  <dcterms:modified xsi:type="dcterms:W3CDTF">2019-12-03T09:39:41Z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