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附件</w:t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 xml:space="preserve">  海南经贸职业技术学院</w:t>
      </w:r>
    </w:p>
    <w:p>
      <w:pPr>
        <w:spacing w:before="184" w:line="336" w:lineRule="auto"/>
        <w:ind w:right="970" w:rightChars="0"/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 xml:space="preserve">     2022年校园除“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四害</w:t>
      </w: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项目报价表</w:t>
      </w:r>
    </w:p>
    <w:p>
      <w:pPr>
        <w:spacing w:line="336" w:lineRule="auto"/>
        <w:rPr>
          <w:rFonts w:ascii="宋体" w:eastAsia="宋体"/>
          <w:sz w:val="52"/>
        </w:rPr>
        <w:sectPr>
          <w:type w:val="continuous"/>
          <w:pgSz w:w="11910" w:h="16840"/>
          <w:pgMar w:top="1060" w:right="960" w:bottom="280" w:left="960" w:header="720" w:footer="720" w:gutter="0"/>
          <w:pgBorders w:offsetFrom="page">
            <w:top w:val="double" w:color="000080" w:sz="4" w:space="24"/>
            <w:left w:val="double" w:color="000080" w:sz="4" w:space="24"/>
            <w:bottom w:val="double" w:color="000080" w:sz="4" w:space="24"/>
            <w:right w:val="double" w:color="000080" w:sz="4" w:space="25"/>
          </w:pgBorders>
          <w:cols w:space="720" w:num="1"/>
        </w:sectPr>
      </w:pPr>
    </w:p>
    <w:p>
      <w:pPr>
        <w:pStyle w:val="2"/>
        <w:spacing w:before="3"/>
        <w:rPr>
          <w:rFonts w:ascii="宋体"/>
          <w:b/>
          <w:sz w:val="14"/>
        </w:rPr>
      </w:pPr>
    </w:p>
    <w:p>
      <w:pPr>
        <w:pStyle w:val="2"/>
        <w:spacing w:line="20" w:lineRule="exact"/>
        <w:ind w:left="312"/>
        <w:rPr>
          <w:rFonts w:ascii="宋体"/>
          <w:sz w:val="2"/>
        </w:rPr>
      </w:pPr>
      <w:r>
        <w:rPr>
          <w:rFonts w:ascii="宋体"/>
          <w:sz w:val="2"/>
        </w:rPr>
        <mc:AlternateContent>
          <mc:Choice Requires="wpg">
            <w:drawing>
              <wp:inline distT="0" distB="0" distL="114300" distR="114300">
                <wp:extent cx="5939155" cy="5080"/>
                <wp:effectExtent l="0" t="0" r="0" b="0"/>
                <wp:docPr id="9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5080"/>
                          <a:chOff x="0" y="0"/>
                          <a:chExt cx="9353" cy="8"/>
                        </a:xfrm>
                        <a:effectLst/>
                      </wpg:grpSpPr>
                      <wps:wsp>
                        <wps:cNvPr id="8" name="直线 7"/>
                        <wps:cNvCnPr/>
                        <wps:spPr>
                          <a:xfrm>
                            <a:off x="0" y="4"/>
                            <a:ext cx="9353" cy="0"/>
                          </a:xfrm>
                          <a:prstGeom prst="line">
                            <a:avLst/>
                          </a:prstGeom>
                          <a:ln w="4572" cap="flat" cmpd="sng">
                            <a:solidFill>
                              <a:srgbClr val="336699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6" o:spid="_x0000_s1026" o:spt="203" style="height:0.4pt;width:467.65pt;" coordsize="9353,8" o:gfxdata="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FkvXbUAAAAAgEAAA8A&#10;AAAAAAAAAQAgAAAAIgAAAGRycy9kb3ducmV2LnhtbFBLAQIUABQAAAAIAIdO4kDbguGnVAIAABkF&#10;AAAOAAAAAAAAAAEAIAAAACMBAABkcnMvZTJvRG9jLnhtbFBLBQYAAAAABgAGAFkBAADpBQAAAAA=&#10;">
                <o:lock v:ext="edit" aspectratio="f"/>
                <v:line id="直线 7" o:spid="_x0000_s1026" o:spt="20" style="position:absolute;left:0;top:4;height:0;width:9353;" filled="f" stroked="t" coordsize="21600,21600" o:gfxdata="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vY8c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36pt" color="#336699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2"/>
        <w:rPr>
          <w:rFonts w:ascii="宋体"/>
          <w:b/>
          <w:sz w:val="20"/>
        </w:rPr>
      </w:pPr>
    </w:p>
    <w:p>
      <w:pPr>
        <w:pStyle w:val="2"/>
        <w:rPr>
          <w:rFonts w:ascii="宋体"/>
          <w:b/>
          <w:sz w:val="20"/>
        </w:rPr>
      </w:pPr>
    </w:p>
    <w:p>
      <w:pPr>
        <w:pStyle w:val="2"/>
        <w:spacing w:before="6"/>
        <w:rPr>
          <w:rFonts w:ascii="宋体"/>
          <w:b/>
          <w:sz w:val="16"/>
        </w:rPr>
      </w:pPr>
    </w:p>
    <w:p>
      <w:pPr>
        <w:pStyle w:val="2"/>
        <w:spacing w:before="63" w:line="448" w:lineRule="auto"/>
        <w:ind w:left="316" w:right="186" w:firstLine="518"/>
      </w:pPr>
      <w:r>
        <w:rPr>
          <w:spacing w:val="-1"/>
        </w:rPr>
        <w:t>目前海南省政府尚无主管机关公布关于“四害防治收费”类规范性文件，可根</w:t>
      </w:r>
      <w:r>
        <w:rPr>
          <w:spacing w:val="-12"/>
          <w:w w:val="95"/>
        </w:rPr>
        <w:t>据防治药品、器械、人工费等费用，结合海口环境现状</w:t>
      </w:r>
      <w:r>
        <w:rPr>
          <w:w w:val="95"/>
        </w:rPr>
        <w:t>（高温高湿的热带气候类型，</w:t>
      </w:r>
      <w:r>
        <w:t>非常适合四害等繁殖）和</w:t>
      </w:r>
      <w:r>
        <w:rPr>
          <w:rFonts w:hint="eastAsia"/>
        </w:rPr>
        <w:t>我校</w:t>
      </w:r>
      <w:r>
        <w:t>防治区域情况进行适当的调整。</w:t>
      </w:r>
    </w:p>
    <w:p>
      <w:pPr>
        <w:spacing w:before="3"/>
        <w:ind w:firstLine="4829" w:firstLineChars="1850"/>
        <w:rPr>
          <w:b/>
          <w:sz w:val="26"/>
        </w:rPr>
      </w:pPr>
      <w:r>
        <w:rPr>
          <w:b/>
          <w:sz w:val="26"/>
        </w:rPr>
        <w:t>报价明细表</w:t>
      </w:r>
    </w:p>
    <w:p>
      <w:pPr>
        <w:pStyle w:val="2"/>
        <w:spacing w:before="5"/>
        <w:rPr>
          <w:b/>
          <w:sz w:val="11"/>
        </w:rPr>
      </w:pPr>
    </w:p>
    <w:tbl>
      <w:tblPr>
        <w:tblStyle w:val="6"/>
        <w:tblW w:w="0" w:type="auto"/>
        <w:tblInd w:w="118" w:type="dxa"/>
        <w:tblBorders>
          <w:top w:val="single" w:color="E26C08" w:sz="4" w:space="0"/>
          <w:left w:val="single" w:color="E26C08" w:sz="4" w:space="0"/>
          <w:bottom w:val="single" w:color="E26C08" w:sz="4" w:space="0"/>
          <w:right w:val="single" w:color="E26C08" w:sz="4" w:space="0"/>
          <w:insideH w:val="single" w:color="E26C08" w:sz="4" w:space="0"/>
          <w:insideV w:val="single" w:color="E26C08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752"/>
        <w:gridCol w:w="1517"/>
        <w:gridCol w:w="1078"/>
        <w:gridCol w:w="1197"/>
        <w:gridCol w:w="1264"/>
        <w:gridCol w:w="1932"/>
      </w:tblGrid>
      <w:tr>
        <w:tblPrEx>
          <w:tblBorders>
            <w:top w:val="single" w:color="E26C08" w:sz="4" w:space="0"/>
            <w:left w:val="single" w:color="E26C08" w:sz="4" w:space="0"/>
            <w:bottom w:val="single" w:color="E26C08" w:sz="4" w:space="0"/>
            <w:right w:val="single" w:color="E26C08" w:sz="4" w:space="0"/>
            <w:insideH w:val="single" w:color="E26C08" w:sz="4" w:space="0"/>
            <w:insideV w:val="single" w:color="E26C0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20" w:type="dxa"/>
          </w:tcPr>
          <w:p>
            <w:pPr>
              <w:pStyle w:val="10"/>
              <w:spacing w:before="149"/>
              <w:ind w:left="288" w:right="280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1752" w:type="dxa"/>
          </w:tcPr>
          <w:p>
            <w:pPr>
              <w:pStyle w:val="10"/>
              <w:spacing w:before="149"/>
              <w:ind w:left="204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品名</w:t>
            </w:r>
          </w:p>
        </w:tc>
        <w:tc>
          <w:tcPr>
            <w:tcW w:w="1517" w:type="dxa"/>
          </w:tcPr>
          <w:p>
            <w:pPr>
              <w:pStyle w:val="10"/>
              <w:spacing w:before="149"/>
              <w:ind w:left="152" w:right="141"/>
              <w:rPr>
                <w:b/>
                <w:sz w:val="20"/>
              </w:rPr>
            </w:pPr>
            <w:r>
              <w:rPr>
                <w:b/>
                <w:sz w:val="20"/>
              </w:rPr>
              <w:t>规格</w:t>
            </w:r>
          </w:p>
        </w:tc>
        <w:tc>
          <w:tcPr>
            <w:tcW w:w="1078" w:type="dxa"/>
          </w:tcPr>
          <w:p>
            <w:pPr>
              <w:pStyle w:val="10"/>
              <w:spacing w:before="149"/>
              <w:ind w:left="317"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>数量</w:t>
            </w:r>
          </w:p>
        </w:tc>
        <w:tc>
          <w:tcPr>
            <w:tcW w:w="1197" w:type="dxa"/>
          </w:tcPr>
          <w:p>
            <w:pPr>
              <w:pStyle w:val="10"/>
              <w:spacing w:before="149"/>
              <w:ind w:left="76"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单价（元）</w:t>
            </w:r>
          </w:p>
        </w:tc>
        <w:tc>
          <w:tcPr>
            <w:tcW w:w="1264" w:type="dxa"/>
          </w:tcPr>
          <w:p>
            <w:pPr>
              <w:pStyle w:val="10"/>
              <w:spacing w:before="149"/>
              <w:ind w:left="111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金额（元）</w:t>
            </w:r>
          </w:p>
        </w:tc>
        <w:tc>
          <w:tcPr>
            <w:tcW w:w="1932" w:type="dxa"/>
          </w:tcPr>
          <w:p>
            <w:pPr>
              <w:pStyle w:val="10"/>
              <w:spacing w:before="149"/>
              <w:ind w:left="35"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备注</w:t>
            </w:r>
          </w:p>
        </w:tc>
      </w:tr>
      <w:tr>
        <w:tblPrEx>
          <w:tblBorders>
            <w:top w:val="single" w:color="E26C08" w:sz="4" w:space="0"/>
            <w:left w:val="single" w:color="E26C08" w:sz="4" w:space="0"/>
            <w:bottom w:val="single" w:color="E26C08" w:sz="4" w:space="0"/>
            <w:right w:val="single" w:color="E26C08" w:sz="4" w:space="0"/>
            <w:insideH w:val="single" w:color="E26C08" w:sz="4" w:space="0"/>
            <w:insideV w:val="single" w:color="E26C0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020" w:type="dxa"/>
          </w:tcPr>
          <w:p>
            <w:pPr>
              <w:pStyle w:val="10"/>
              <w:spacing w:before="11"/>
              <w:jc w:val="left"/>
              <w:rPr>
                <w:b/>
                <w:sz w:val="36"/>
              </w:rPr>
            </w:pPr>
          </w:p>
          <w:p>
            <w:pPr>
              <w:pStyle w:val="10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752" w:type="dxa"/>
          </w:tcPr>
          <w:p>
            <w:pPr>
              <w:pStyle w:val="10"/>
              <w:ind w:left="354"/>
              <w:jc w:val="left"/>
              <w:rPr>
                <w:sz w:val="26"/>
              </w:rPr>
            </w:pPr>
          </w:p>
        </w:tc>
        <w:tc>
          <w:tcPr>
            <w:tcW w:w="1517" w:type="dxa"/>
          </w:tcPr>
          <w:p>
            <w:pPr>
              <w:pStyle w:val="10"/>
              <w:spacing w:before="11"/>
              <w:jc w:val="left"/>
              <w:rPr>
                <w:b/>
                <w:sz w:val="36"/>
              </w:rPr>
            </w:pPr>
          </w:p>
          <w:p>
            <w:pPr>
              <w:pStyle w:val="10"/>
              <w:ind w:left="152" w:right="144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10"/>
              <w:spacing w:before="11"/>
              <w:jc w:val="left"/>
              <w:rPr>
                <w:b/>
                <w:sz w:val="36"/>
              </w:rPr>
            </w:pPr>
          </w:p>
          <w:p>
            <w:pPr>
              <w:pStyle w:val="10"/>
              <w:ind w:left="317" w:right="307"/>
              <w:rPr>
                <w:sz w:val="26"/>
              </w:rPr>
            </w:pPr>
          </w:p>
        </w:tc>
        <w:tc>
          <w:tcPr>
            <w:tcW w:w="1197" w:type="dxa"/>
          </w:tcPr>
          <w:p>
            <w:pPr>
              <w:pStyle w:val="10"/>
              <w:spacing w:before="11"/>
              <w:jc w:val="left"/>
              <w:rPr>
                <w:b/>
                <w:sz w:val="36"/>
              </w:rPr>
            </w:pPr>
          </w:p>
          <w:p>
            <w:pPr>
              <w:pStyle w:val="10"/>
              <w:ind w:left="72" w:right="66"/>
              <w:rPr>
                <w:sz w:val="26"/>
              </w:rPr>
            </w:pPr>
          </w:p>
        </w:tc>
        <w:tc>
          <w:tcPr>
            <w:tcW w:w="1264" w:type="dxa"/>
          </w:tcPr>
          <w:p>
            <w:pPr>
              <w:pStyle w:val="10"/>
              <w:spacing w:before="11"/>
              <w:jc w:val="left"/>
              <w:rPr>
                <w:b/>
                <w:sz w:val="36"/>
              </w:rPr>
            </w:pPr>
          </w:p>
          <w:p>
            <w:pPr>
              <w:pStyle w:val="10"/>
              <w:ind w:left="106" w:right="99"/>
              <w:rPr>
                <w:sz w:val="26"/>
              </w:rPr>
            </w:pPr>
          </w:p>
        </w:tc>
        <w:tc>
          <w:tcPr>
            <w:tcW w:w="1932" w:type="dxa"/>
          </w:tcPr>
          <w:p>
            <w:pPr>
              <w:pStyle w:val="10"/>
              <w:spacing w:before="11"/>
              <w:jc w:val="left"/>
              <w:rPr>
                <w:b/>
                <w:sz w:val="36"/>
              </w:rPr>
            </w:pPr>
          </w:p>
          <w:p>
            <w:pPr>
              <w:pStyle w:val="10"/>
              <w:ind w:left="35" w:right="27"/>
              <w:rPr>
                <w:sz w:val="26"/>
              </w:rPr>
            </w:pPr>
          </w:p>
        </w:tc>
      </w:tr>
      <w:tr>
        <w:tblPrEx>
          <w:tblBorders>
            <w:top w:val="single" w:color="E26C08" w:sz="4" w:space="0"/>
            <w:left w:val="single" w:color="E26C08" w:sz="4" w:space="0"/>
            <w:bottom w:val="single" w:color="E26C08" w:sz="4" w:space="0"/>
            <w:right w:val="single" w:color="E26C08" w:sz="4" w:space="0"/>
            <w:insideH w:val="single" w:color="E26C08" w:sz="4" w:space="0"/>
            <w:insideV w:val="single" w:color="E26C0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020" w:type="dxa"/>
          </w:tcPr>
          <w:p>
            <w:pPr>
              <w:pStyle w:val="10"/>
              <w:spacing w:before="12"/>
              <w:jc w:val="left"/>
              <w:rPr>
                <w:b/>
                <w:sz w:val="36"/>
              </w:rPr>
            </w:pPr>
          </w:p>
          <w:p>
            <w:pPr>
              <w:pStyle w:val="10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752" w:type="dxa"/>
          </w:tcPr>
          <w:p>
            <w:pPr>
              <w:pStyle w:val="10"/>
              <w:ind w:left="95"/>
              <w:jc w:val="left"/>
              <w:rPr>
                <w:sz w:val="26"/>
              </w:rPr>
            </w:pPr>
          </w:p>
        </w:tc>
        <w:tc>
          <w:tcPr>
            <w:tcW w:w="1517" w:type="dxa"/>
          </w:tcPr>
          <w:p>
            <w:pPr>
              <w:pStyle w:val="10"/>
              <w:spacing w:before="12"/>
              <w:jc w:val="left"/>
              <w:rPr>
                <w:b/>
                <w:sz w:val="36"/>
              </w:rPr>
            </w:pPr>
          </w:p>
          <w:p>
            <w:pPr>
              <w:pStyle w:val="10"/>
              <w:ind w:left="152" w:right="144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10"/>
              <w:spacing w:before="12"/>
              <w:jc w:val="left"/>
              <w:rPr>
                <w:b/>
                <w:sz w:val="36"/>
              </w:rPr>
            </w:pPr>
          </w:p>
          <w:p>
            <w:pPr>
              <w:pStyle w:val="10"/>
              <w:ind w:left="10"/>
              <w:rPr>
                <w:sz w:val="26"/>
              </w:rPr>
            </w:pPr>
          </w:p>
        </w:tc>
        <w:tc>
          <w:tcPr>
            <w:tcW w:w="1197" w:type="dxa"/>
          </w:tcPr>
          <w:p>
            <w:pPr>
              <w:pStyle w:val="10"/>
              <w:spacing w:before="12"/>
              <w:jc w:val="left"/>
              <w:rPr>
                <w:b/>
                <w:sz w:val="36"/>
              </w:rPr>
            </w:pPr>
          </w:p>
          <w:p>
            <w:pPr>
              <w:pStyle w:val="10"/>
              <w:ind w:left="72" w:right="66"/>
              <w:rPr>
                <w:sz w:val="26"/>
              </w:rPr>
            </w:pPr>
          </w:p>
        </w:tc>
        <w:tc>
          <w:tcPr>
            <w:tcW w:w="1264" w:type="dxa"/>
          </w:tcPr>
          <w:p>
            <w:pPr>
              <w:pStyle w:val="10"/>
              <w:spacing w:before="12"/>
              <w:jc w:val="left"/>
              <w:rPr>
                <w:b/>
                <w:sz w:val="36"/>
              </w:rPr>
            </w:pPr>
          </w:p>
          <w:p>
            <w:pPr>
              <w:pStyle w:val="10"/>
              <w:ind w:left="106" w:right="99"/>
              <w:rPr>
                <w:sz w:val="26"/>
              </w:rPr>
            </w:pPr>
          </w:p>
        </w:tc>
        <w:tc>
          <w:tcPr>
            <w:tcW w:w="1932" w:type="dxa"/>
          </w:tcPr>
          <w:p>
            <w:pPr>
              <w:pStyle w:val="10"/>
              <w:ind w:left="8"/>
              <w:rPr>
                <w:sz w:val="26"/>
              </w:rPr>
            </w:pPr>
          </w:p>
        </w:tc>
      </w:tr>
      <w:tr>
        <w:tblPrEx>
          <w:tblBorders>
            <w:top w:val="single" w:color="E26C08" w:sz="4" w:space="0"/>
            <w:left w:val="single" w:color="E26C08" w:sz="4" w:space="0"/>
            <w:bottom w:val="single" w:color="E26C08" w:sz="4" w:space="0"/>
            <w:right w:val="single" w:color="E26C08" w:sz="4" w:space="0"/>
            <w:insideH w:val="single" w:color="E26C08" w:sz="4" w:space="0"/>
            <w:insideV w:val="single" w:color="E26C0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020" w:type="dxa"/>
          </w:tcPr>
          <w:p>
            <w:pPr>
              <w:pStyle w:val="10"/>
              <w:jc w:val="left"/>
              <w:rPr>
                <w:b/>
                <w:sz w:val="37"/>
              </w:rPr>
            </w:pPr>
          </w:p>
          <w:p>
            <w:pPr>
              <w:pStyle w:val="10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752" w:type="dxa"/>
          </w:tcPr>
          <w:p>
            <w:pPr>
              <w:pStyle w:val="10"/>
              <w:ind w:left="354"/>
              <w:jc w:val="left"/>
              <w:rPr>
                <w:sz w:val="26"/>
              </w:rPr>
            </w:pPr>
          </w:p>
        </w:tc>
        <w:tc>
          <w:tcPr>
            <w:tcW w:w="1517" w:type="dxa"/>
          </w:tcPr>
          <w:p>
            <w:pPr>
              <w:pStyle w:val="10"/>
              <w:jc w:val="left"/>
              <w:rPr>
                <w:b/>
                <w:sz w:val="37"/>
              </w:rPr>
            </w:pPr>
          </w:p>
          <w:p>
            <w:pPr>
              <w:pStyle w:val="10"/>
              <w:ind w:left="152" w:right="144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10"/>
              <w:jc w:val="left"/>
              <w:rPr>
                <w:b/>
                <w:sz w:val="37"/>
              </w:rPr>
            </w:pPr>
          </w:p>
          <w:p>
            <w:pPr>
              <w:pStyle w:val="10"/>
              <w:ind w:left="10"/>
              <w:rPr>
                <w:sz w:val="26"/>
              </w:rPr>
            </w:pPr>
          </w:p>
        </w:tc>
        <w:tc>
          <w:tcPr>
            <w:tcW w:w="1197" w:type="dxa"/>
          </w:tcPr>
          <w:p>
            <w:pPr>
              <w:pStyle w:val="10"/>
              <w:jc w:val="left"/>
              <w:rPr>
                <w:b/>
                <w:sz w:val="37"/>
              </w:rPr>
            </w:pPr>
          </w:p>
          <w:p>
            <w:pPr>
              <w:pStyle w:val="10"/>
              <w:ind w:left="72" w:right="66"/>
              <w:rPr>
                <w:sz w:val="26"/>
                <w:lang w:val="en-US"/>
              </w:rPr>
            </w:pPr>
          </w:p>
        </w:tc>
        <w:tc>
          <w:tcPr>
            <w:tcW w:w="1264" w:type="dxa"/>
          </w:tcPr>
          <w:p>
            <w:pPr>
              <w:pStyle w:val="10"/>
              <w:jc w:val="left"/>
              <w:rPr>
                <w:b/>
                <w:sz w:val="37"/>
              </w:rPr>
            </w:pPr>
          </w:p>
          <w:p>
            <w:pPr>
              <w:pStyle w:val="10"/>
              <w:ind w:left="106" w:right="99"/>
              <w:rPr>
                <w:sz w:val="26"/>
              </w:rPr>
            </w:pPr>
          </w:p>
        </w:tc>
        <w:tc>
          <w:tcPr>
            <w:tcW w:w="1932" w:type="dxa"/>
          </w:tcPr>
          <w:p>
            <w:pPr>
              <w:pStyle w:val="10"/>
              <w:ind w:left="8"/>
              <w:rPr>
                <w:sz w:val="26"/>
              </w:rPr>
            </w:pPr>
          </w:p>
        </w:tc>
      </w:tr>
      <w:tr>
        <w:tblPrEx>
          <w:tblBorders>
            <w:top w:val="single" w:color="E26C08" w:sz="4" w:space="0"/>
            <w:left w:val="single" w:color="E26C08" w:sz="4" w:space="0"/>
            <w:bottom w:val="single" w:color="E26C08" w:sz="4" w:space="0"/>
            <w:right w:val="single" w:color="E26C08" w:sz="4" w:space="0"/>
            <w:insideH w:val="single" w:color="E26C08" w:sz="4" w:space="0"/>
            <w:insideV w:val="single" w:color="E26C0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020" w:type="dxa"/>
          </w:tcPr>
          <w:p>
            <w:pPr>
              <w:pStyle w:val="10"/>
              <w:spacing w:before="160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752" w:type="dxa"/>
          </w:tcPr>
          <w:p>
            <w:pPr>
              <w:pStyle w:val="10"/>
              <w:spacing w:before="160"/>
              <w:ind w:left="204" w:right="198"/>
              <w:rPr>
                <w:sz w:val="26"/>
              </w:rPr>
            </w:pPr>
          </w:p>
        </w:tc>
        <w:tc>
          <w:tcPr>
            <w:tcW w:w="1517" w:type="dxa"/>
          </w:tcPr>
          <w:p>
            <w:pPr>
              <w:pStyle w:val="10"/>
              <w:spacing w:before="160"/>
              <w:ind w:left="152" w:right="144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10"/>
              <w:spacing w:before="160"/>
              <w:ind w:left="10"/>
              <w:rPr>
                <w:sz w:val="26"/>
              </w:rPr>
            </w:pPr>
          </w:p>
        </w:tc>
        <w:tc>
          <w:tcPr>
            <w:tcW w:w="1197" w:type="dxa"/>
          </w:tcPr>
          <w:p>
            <w:pPr>
              <w:pStyle w:val="10"/>
              <w:spacing w:before="160"/>
              <w:ind w:left="72" w:right="66"/>
              <w:rPr>
                <w:sz w:val="26"/>
              </w:rPr>
            </w:pPr>
          </w:p>
        </w:tc>
        <w:tc>
          <w:tcPr>
            <w:tcW w:w="1264" w:type="dxa"/>
          </w:tcPr>
          <w:p>
            <w:pPr>
              <w:pStyle w:val="10"/>
              <w:spacing w:before="160"/>
              <w:ind w:left="106" w:right="99"/>
              <w:rPr>
                <w:sz w:val="26"/>
              </w:rPr>
            </w:pPr>
          </w:p>
        </w:tc>
        <w:tc>
          <w:tcPr>
            <w:tcW w:w="1932" w:type="dxa"/>
          </w:tcPr>
          <w:p>
            <w:pPr>
              <w:pStyle w:val="10"/>
              <w:spacing w:before="160"/>
              <w:ind w:left="35" w:right="27"/>
              <w:rPr>
                <w:sz w:val="26"/>
              </w:rPr>
            </w:pPr>
          </w:p>
        </w:tc>
      </w:tr>
      <w:tr>
        <w:tblPrEx>
          <w:tblBorders>
            <w:top w:val="single" w:color="E26C08" w:sz="4" w:space="0"/>
            <w:left w:val="single" w:color="E26C08" w:sz="4" w:space="0"/>
            <w:bottom w:val="single" w:color="E26C08" w:sz="4" w:space="0"/>
            <w:right w:val="single" w:color="E26C08" w:sz="4" w:space="0"/>
            <w:insideH w:val="single" w:color="E26C08" w:sz="4" w:space="0"/>
            <w:insideV w:val="single" w:color="E26C0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020" w:type="dxa"/>
          </w:tcPr>
          <w:p>
            <w:pPr>
              <w:pStyle w:val="10"/>
              <w:spacing w:before="161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752" w:type="dxa"/>
          </w:tcPr>
          <w:p>
            <w:pPr>
              <w:pStyle w:val="10"/>
              <w:spacing w:before="161"/>
              <w:ind w:left="204" w:right="196"/>
              <w:rPr>
                <w:sz w:val="26"/>
              </w:rPr>
            </w:pPr>
          </w:p>
        </w:tc>
        <w:tc>
          <w:tcPr>
            <w:tcW w:w="1517" w:type="dxa"/>
          </w:tcPr>
          <w:p>
            <w:pPr>
              <w:pStyle w:val="10"/>
              <w:spacing w:before="161"/>
              <w:ind w:left="152" w:right="144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10"/>
              <w:spacing w:before="161"/>
              <w:ind w:left="10"/>
              <w:rPr>
                <w:sz w:val="26"/>
              </w:rPr>
            </w:pPr>
          </w:p>
        </w:tc>
        <w:tc>
          <w:tcPr>
            <w:tcW w:w="1197" w:type="dxa"/>
          </w:tcPr>
          <w:p>
            <w:pPr>
              <w:pStyle w:val="10"/>
              <w:spacing w:before="161"/>
              <w:ind w:left="72" w:right="66"/>
              <w:rPr>
                <w:sz w:val="26"/>
                <w:lang w:val="en-US"/>
              </w:rPr>
            </w:pPr>
          </w:p>
        </w:tc>
        <w:tc>
          <w:tcPr>
            <w:tcW w:w="1264" w:type="dxa"/>
          </w:tcPr>
          <w:p>
            <w:pPr>
              <w:pStyle w:val="10"/>
              <w:spacing w:before="161"/>
              <w:ind w:left="106" w:right="99"/>
              <w:rPr>
                <w:sz w:val="26"/>
                <w:lang w:val="en-US"/>
              </w:rPr>
            </w:pPr>
          </w:p>
        </w:tc>
        <w:tc>
          <w:tcPr>
            <w:tcW w:w="1932" w:type="dxa"/>
          </w:tcPr>
          <w:p>
            <w:pPr>
              <w:pStyle w:val="10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E26C08" w:sz="4" w:space="0"/>
            <w:left w:val="single" w:color="E26C08" w:sz="4" w:space="0"/>
            <w:bottom w:val="single" w:color="E26C08" w:sz="4" w:space="0"/>
            <w:right w:val="single" w:color="E26C08" w:sz="4" w:space="0"/>
            <w:insideH w:val="single" w:color="E26C08" w:sz="4" w:space="0"/>
            <w:insideV w:val="single" w:color="E26C0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1020" w:type="dxa"/>
          </w:tcPr>
          <w:p>
            <w:pPr>
              <w:pStyle w:val="10"/>
              <w:jc w:val="left"/>
              <w:rPr>
                <w:b/>
                <w:sz w:val="26"/>
              </w:rPr>
            </w:pPr>
          </w:p>
          <w:p>
            <w:pPr>
              <w:pStyle w:val="10"/>
              <w:spacing w:before="4"/>
              <w:jc w:val="left"/>
              <w:rPr>
                <w:b/>
                <w:sz w:val="35"/>
              </w:rPr>
            </w:pPr>
          </w:p>
          <w:p>
            <w:pPr>
              <w:pStyle w:val="10"/>
              <w:ind w:left="6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752" w:type="dxa"/>
          </w:tcPr>
          <w:p>
            <w:pPr>
              <w:pStyle w:val="10"/>
              <w:jc w:val="left"/>
              <w:rPr>
                <w:b/>
                <w:sz w:val="26"/>
              </w:rPr>
            </w:pPr>
          </w:p>
          <w:p>
            <w:pPr>
              <w:pStyle w:val="10"/>
              <w:spacing w:before="4"/>
              <w:jc w:val="left"/>
              <w:rPr>
                <w:b/>
                <w:sz w:val="35"/>
              </w:rPr>
            </w:pPr>
          </w:p>
          <w:p>
            <w:pPr>
              <w:pStyle w:val="10"/>
              <w:ind w:left="204" w:right="198"/>
              <w:rPr>
                <w:sz w:val="26"/>
              </w:rPr>
            </w:pPr>
          </w:p>
        </w:tc>
        <w:tc>
          <w:tcPr>
            <w:tcW w:w="1517" w:type="dxa"/>
          </w:tcPr>
          <w:p>
            <w:pPr>
              <w:pStyle w:val="10"/>
              <w:jc w:val="left"/>
              <w:rPr>
                <w:b/>
                <w:sz w:val="26"/>
              </w:rPr>
            </w:pPr>
          </w:p>
          <w:p>
            <w:pPr>
              <w:pStyle w:val="10"/>
              <w:spacing w:before="4"/>
              <w:jc w:val="left"/>
              <w:rPr>
                <w:b/>
                <w:sz w:val="35"/>
              </w:rPr>
            </w:pPr>
          </w:p>
          <w:p>
            <w:pPr>
              <w:pStyle w:val="10"/>
              <w:ind w:left="8"/>
              <w:rPr>
                <w:sz w:val="26"/>
              </w:rPr>
            </w:pPr>
          </w:p>
        </w:tc>
        <w:tc>
          <w:tcPr>
            <w:tcW w:w="1078" w:type="dxa"/>
          </w:tcPr>
          <w:p>
            <w:pPr>
              <w:pStyle w:val="10"/>
              <w:jc w:val="left"/>
              <w:rPr>
                <w:b/>
                <w:sz w:val="26"/>
              </w:rPr>
            </w:pPr>
          </w:p>
          <w:p>
            <w:pPr>
              <w:pStyle w:val="10"/>
              <w:spacing w:before="4"/>
              <w:jc w:val="left"/>
              <w:rPr>
                <w:b/>
                <w:sz w:val="35"/>
              </w:rPr>
            </w:pPr>
          </w:p>
          <w:p>
            <w:pPr>
              <w:pStyle w:val="10"/>
              <w:ind w:left="10"/>
              <w:rPr>
                <w:sz w:val="26"/>
              </w:rPr>
            </w:pPr>
          </w:p>
        </w:tc>
        <w:tc>
          <w:tcPr>
            <w:tcW w:w="1197" w:type="dxa"/>
          </w:tcPr>
          <w:p>
            <w:pPr>
              <w:pStyle w:val="10"/>
              <w:jc w:val="left"/>
              <w:rPr>
                <w:b/>
                <w:sz w:val="26"/>
              </w:rPr>
            </w:pPr>
          </w:p>
          <w:p>
            <w:pPr>
              <w:pStyle w:val="10"/>
              <w:spacing w:before="4"/>
              <w:jc w:val="left"/>
              <w:rPr>
                <w:b/>
                <w:sz w:val="35"/>
              </w:rPr>
            </w:pPr>
          </w:p>
          <w:p>
            <w:pPr>
              <w:pStyle w:val="10"/>
              <w:ind w:left="72" w:right="66"/>
              <w:rPr>
                <w:sz w:val="26"/>
                <w:lang w:val="en-US"/>
              </w:rPr>
            </w:pPr>
          </w:p>
        </w:tc>
        <w:tc>
          <w:tcPr>
            <w:tcW w:w="1264" w:type="dxa"/>
          </w:tcPr>
          <w:p>
            <w:pPr>
              <w:pStyle w:val="10"/>
              <w:jc w:val="left"/>
              <w:rPr>
                <w:b/>
                <w:sz w:val="26"/>
              </w:rPr>
            </w:pPr>
          </w:p>
          <w:p>
            <w:pPr>
              <w:pStyle w:val="10"/>
              <w:spacing w:before="4"/>
              <w:jc w:val="left"/>
              <w:rPr>
                <w:b/>
                <w:sz w:val="35"/>
              </w:rPr>
            </w:pPr>
          </w:p>
          <w:p>
            <w:pPr>
              <w:pStyle w:val="10"/>
              <w:ind w:left="106" w:right="99"/>
              <w:rPr>
                <w:sz w:val="26"/>
                <w:lang w:val="en-US"/>
              </w:rPr>
            </w:pPr>
          </w:p>
        </w:tc>
        <w:tc>
          <w:tcPr>
            <w:tcW w:w="1932" w:type="dxa"/>
          </w:tcPr>
          <w:p>
            <w:pPr>
              <w:pStyle w:val="10"/>
              <w:spacing w:before="2"/>
              <w:ind w:left="35" w:right="25"/>
              <w:rPr>
                <w:sz w:val="26"/>
              </w:rPr>
            </w:pPr>
          </w:p>
        </w:tc>
      </w:tr>
      <w:tr>
        <w:tblPrEx>
          <w:tblBorders>
            <w:top w:val="single" w:color="E26C08" w:sz="4" w:space="0"/>
            <w:left w:val="single" w:color="E26C08" w:sz="4" w:space="0"/>
            <w:bottom w:val="single" w:color="E26C08" w:sz="4" w:space="0"/>
            <w:right w:val="single" w:color="E26C08" w:sz="4" w:space="0"/>
            <w:insideH w:val="single" w:color="E26C08" w:sz="4" w:space="0"/>
            <w:insideV w:val="single" w:color="E26C0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772" w:type="dxa"/>
            <w:gridSpan w:val="2"/>
          </w:tcPr>
          <w:p>
            <w:pPr>
              <w:pStyle w:val="10"/>
              <w:spacing w:before="11"/>
              <w:jc w:val="left"/>
              <w:rPr>
                <w:b/>
                <w:sz w:val="36"/>
              </w:rPr>
            </w:pPr>
          </w:p>
          <w:p>
            <w:pPr>
              <w:pStyle w:val="10"/>
              <w:ind w:left="1104" w:right="1098"/>
              <w:rPr>
                <w:sz w:val="26"/>
              </w:rPr>
            </w:pPr>
            <w:r>
              <w:rPr>
                <w:sz w:val="26"/>
              </w:rPr>
              <w:t>合计</w:t>
            </w:r>
          </w:p>
        </w:tc>
        <w:tc>
          <w:tcPr>
            <w:tcW w:w="1517" w:type="dxa"/>
          </w:tcPr>
          <w:p>
            <w:pPr>
              <w:pStyle w:val="1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>
            <w:pPr>
              <w:pStyle w:val="1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97" w:type="dxa"/>
          </w:tcPr>
          <w:p>
            <w:pPr>
              <w:pStyle w:val="1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64" w:type="dxa"/>
          </w:tcPr>
          <w:p>
            <w:pPr>
              <w:pStyle w:val="10"/>
              <w:spacing w:before="11"/>
              <w:jc w:val="left"/>
              <w:rPr>
                <w:b/>
                <w:sz w:val="36"/>
              </w:rPr>
            </w:pPr>
          </w:p>
          <w:p>
            <w:pPr>
              <w:pStyle w:val="10"/>
              <w:ind w:left="106" w:right="99"/>
              <w:rPr>
                <w:sz w:val="26"/>
              </w:rPr>
            </w:pPr>
          </w:p>
        </w:tc>
        <w:tc>
          <w:tcPr>
            <w:tcW w:w="1932" w:type="dxa"/>
          </w:tcPr>
          <w:p>
            <w:pPr>
              <w:pStyle w:val="10"/>
              <w:spacing w:before="160"/>
              <w:ind w:left="35" w:right="27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1 次的防治服务</w:t>
            </w:r>
          </w:p>
          <w:p>
            <w:pPr>
              <w:pStyle w:val="10"/>
              <w:spacing w:before="9"/>
              <w:jc w:val="left"/>
              <w:rPr>
                <w:b/>
                <w:bCs/>
              </w:rPr>
            </w:pPr>
          </w:p>
          <w:p>
            <w:pPr>
              <w:pStyle w:val="10"/>
              <w:ind w:left="35" w:right="27"/>
              <w:rPr>
                <w:sz w:val="26"/>
              </w:rPr>
            </w:pPr>
            <w:r>
              <w:rPr>
                <w:b/>
                <w:bCs/>
                <w:sz w:val="26"/>
              </w:rPr>
              <w:t>费用</w:t>
            </w:r>
          </w:p>
        </w:tc>
      </w:tr>
      <w:tr>
        <w:tblPrEx>
          <w:tblBorders>
            <w:top w:val="single" w:color="E26C08" w:sz="4" w:space="0"/>
            <w:left w:val="single" w:color="E26C08" w:sz="4" w:space="0"/>
            <w:bottom w:val="single" w:color="E26C08" w:sz="4" w:space="0"/>
            <w:right w:val="single" w:color="E26C08" w:sz="4" w:space="0"/>
            <w:insideH w:val="single" w:color="E26C08" w:sz="4" w:space="0"/>
            <w:insideV w:val="single" w:color="E26C08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760" w:type="dxa"/>
            <w:gridSpan w:val="7"/>
          </w:tcPr>
          <w:p>
            <w:pPr>
              <w:pStyle w:val="10"/>
              <w:spacing w:before="183"/>
              <w:ind w:left="35" w:right="25"/>
              <w:rPr>
                <w:rFonts w:hint="default" w:eastAsia="楷体"/>
                <w:sz w:val="26"/>
                <w:lang w:val="en-US" w:eastAsia="zh-CN"/>
              </w:rPr>
            </w:pPr>
            <w:r>
              <w:rPr>
                <w:b/>
                <w:bCs/>
                <w:sz w:val="26"/>
              </w:rPr>
              <w:t>全年 6 次</w:t>
            </w:r>
            <w:r>
              <w:rPr>
                <w:rFonts w:hint="eastAsia"/>
                <w:b/>
                <w:bCs/>
                <w:sz w:val="26"/>
                <w:lang w:eastAsia="zh-CN"/>
              </w:rPr>
              <w:t>，</w:t>
            </w:r>
            <w:r>
              <w:rPr>
                <w:rFonts w:hint="eastAsia"/>
                <w:b/>
                <w:bCs/>
                <w:sz w:val="26"/>
                <w:lang w:val="en-US" w:eastAsia="zh-CN"/>
              </w:rPr>
              <w:t>合计</w:t>
            </w:r>
            <w:r>
              <w:rPr>
                <w:rFonts w:hint="eastAsia"/>
                <w:b/>
                <w:bCs/>
                <w:sz w:val="26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b/>
                <w:bCs/>
                <w:sz w:val="26"/>
                <w:lang w:val="en-US" w:eastAsia="zh-CN"/>
              </w:rPr>
              <w:t>元</w:t>
            </w:r>
          </w:p>
        </w:tc>
      </w:tr>
    </w:tbl>
    <w:p>
      <w:pPr>
        <w:rPr>
          <w:sz w:val="26"/>
        </w:rPr>
        <w:sectPr>
          <w:footerReference r:id="rId3" w:type="default"/>
          <w:pgSz w:w="11910" w:h="16840"/>
          <w:pgMar w:top="1580" w:right="960" w:bottom="860" w:left="960" w:header="0" w:footer="672" w:gutter="0"/>
          <w:pgBorders w:offsetFrom="page">
            <w:top w:val="double" w:color="000080" w:sz="4" w:space="24"/>
            <w:left w:val="double" w:color="000080" w:sz="4" w:space="24"/>
            <w:bottom w:val="double" w:color="000080" w:sz="4" w:space="24"/>
            <w:right w:val="double" w:color="000080" w:sz="4" w:space="25"/>
          </w:pgBorders>
          <w:pgNumType w:start="1"/>
          <w:cols w:space="720" w:num="1"/>
        </w:sectPr>
      </w:pPr>
    </w:p>
    <w:p>
      <w:pPr>
        <w:pStyle w:val="2"/>
        <w:spacing w:before="3"/>
        <w:rPr>
          <w:b/>
          <w:sz w:val="14"/>
        </w:rPr>
      </w:pPr>
    </w:p>
    <w:p>
      <w:pPr>
        <w:pStyle w:val="2"/>
        <w:spacing w:line="20" w:lineRule="exact"/>
        <w:ind w:left="312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939155" cy="5080"/>
                <wp:effectExtent l="0" t="0" r="0" b="0"/>
                <wp:docPr id="11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5080"/>
                          <a:chOff x="0" y="0"/>
                          <a:chExt cx="9353" cy="8"/>
                        </a:xfrm>
                        <a:effectLst/>
                      </wpg:grpSpPr>
                      <wps:wsp>
                        <wps:cNvPr id="10" name="直线 9"/>
                        <wps:cNvCnPr/>
                        <wps:spPr>
                          <a:xfrm>
                            <a:off x="0" y="4"/>
                            <a:ext cx="9353" cy="0"/>
                          </a:xfrm>
                          <a:prstGeom prst="line">
                            <a:avLst/>
                          </a:prstGeom>
                          <a:ln w="4572" cap="flat" cmpd="sng">
                            <a:solidFill>
                              <a:srgbClr val="336699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26" o:spt="203" style="height:0.4pt;width:467.65pt;" coordsize="9353,8" o:gfxdata="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xZL121AAAAAIBAAAP&#10;AAAAAAAAAAEAIAAAACIAAABkcnMvZG93bnJldi54bWxQSwECFAAUAAAACACHTuJA3QzGsVUCAAAb&#10;BQAADgAAAAAAAAABACAAAAAjAQAAZHJzL2Uyb0RvYy54bWxQSwUGAAAAAAYABgBZAQAA6gUAAAAA&#10;">
                <o:lock v:ext="edit" aspectratio="f"/>
                <v:line id="直线 9" o:spid="_x0000_s1026" o:spt="20" style="position:absolute;left:0;top:4;height:0;width:9353;" filled="f" stroked="t" coordsize="21600,21600" o:gfxdata="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5MCZb4A&#10;AADbAAAADwAAAAAAAAABACAAAAAiAAAAZHJzL2Rvd25yZXYueG1sUEsBAhQAFAAAAAgAh07iQDMv&#10;BZ47AAAAOQAAABAAAAAAAAAAAQAgAAAADQEAAGRycy9zaGFwZXhtbC54bWxQSwUGAAAAAAYABgBb&#10;AQAAtwMAAAAA&#10;">
                  <v:fill on="f" focussize="0,0"/>
                  <v:stroke weight="0.36pt" color="#336699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2"/>
        <w:spacing w:before="10"/>
        <w:rPr>
          <w:b/>
          <w:sz w:val="7"/>
        </w:rPr>
      </w:pPr>
    </w:p>
    <w:p>
      <w:pPr>
        <w:pStyle w:val="2"/>
        <w:spacing w:before="62"/>
        <w:ind w:left="835"/>
      </w:pPr>
      <w:r>
        <w:t>说明：</w:t>
      </w:r>
    </w:p>
    <w:p>
      <w:pPr>
        <w:pStyle w:val="2"/>
        <w:spacing w:before="9"/>
        <w:rPr>
          <w:sz w:val="22"/>
        </w:rPr>
      </w:pPr>
    </w:p>
    <w:p>
      <w:pPr>
        <w:pStyle w:val="9"/>
        <w:numPr>
          <w:ilvl w:val="1"/>
          <w:numId w:val="1"/>
        </w:numPr>
        <w:tabs>
          <w:tab w:val="left" w:pos="771"/>
        </w:tabs>
        <w:ind w:hanging="455"/>
        <w:rPr>
          <w:sz w:val="26"/>
        </w:rPr>
      </w:pPr>
      <w:r>
        <w:rPr>
          <w:sz w:val="26"/>
        </w:rPr>
        <w:t>室外环境含公共场所、公园、绿化带、小区、市政道路，排水管网等。</w:t>
      </w:r>
    </w:p>
    <w:p>
      <w:pPr>
        <w:pStyle w:val="2"/>
        <w:spacing w:before="9"/>
        <w:rPr>
          <w:sz w:val="22"/>
        </w:rPr>
      </w:pPr>
    </w:p>
    <w:p>
      <w:pPr>
        <w:pStyle w:val="9"/>
        <w:numPr>
          <w:ilvl w:val="1"/>
          <w:numId w:val="1"/>
        </w:numPr>
        <w:tabs>
          <w:tab w:val="left" w:pos="771"/>
        </w:tabs>
        <w:spacing w:line="448" w:lineRule="auto"/>
        <w:ind w:left="316" w:right="372" w:firstLine="0"/>
        <w:rPr>
          <w:sz w:val="26"/>
        </w:rPr>
      </w:pPr>
      <w:r>
        <w:rPr>
          <w:spacing w:val="-8"/>
          <w:sz w:val="26"/>
        </w:rPr>
        <w:t>服务频次原则上每</w:t>
      </w:r>
      <w:r>
        <w:rPr>
          <w:rFonts w:hint="eastAsia"/>
          <w:spacing w:val="-8"/>
          <w:sz w:val="26"/>
        </w:rPr>
        <w:t>隔 1</w:t>
      </w:r>
      <w:r>
        <w:rPr>
          <w:spacing w:val="-8"/>
          <w:sz w:val="26"/>
        </w:rPr>
        <w:t xml:space="preserve">月 </w:t>
      </w:r>
      <w:r>
        <w:rPr>
          <w:sz w:val="26"/>
        </w:rPr>
        <w:t>1</w:t>
      </w:r>
      <w:r>
        <w:rPr>
          <w:spacing w:val="-9"/>
          <w:sz w:val="26"/>
        </w:rPr>
        <w:t>次，按照病媒生物种类消长高低而定，尽量减少环境用药次数。</w:t>
      </w:r>
    </w:p>
    <w:p>
      <w:pPr>
        <w:pStyle w:val="9"/>
        <w:numPr>
          <w:ilvl w:val="1"/>
          <w:numId w:val="1"/>
        </w:numPr>
        <w:tabs>
          <w:tab w:val="left" w:pos="771"/>
        </w:tabs>
        <w:spacing w:before="3"/>
        <w:ind w:hanging="455"/>
        <w:rPr>
          <w:sz w:val="26"/>
        </w:rPr>
      </w:pPr>
      <w:r>
        <w:rPr>
          <w:sz w:val="26"/>
        </w:rPr>
        <w:t>必须使用国家批准的公共卫生杀虫剂和灭鼠剂。</w:t>
      </w:r>
    </w:p>
    <w:p>
      <w:pPr>
        <w:pStyle w:val="2"/>
        <w:spacing w:before="8"/>
        <w:rPr>
          <w:sz w:val="22"/>
        </w:rPr>
      </w:pPr>
    </w:p>
    <w:p>
      <w:pPr>
        <w:pStyle w:val="9"/>
        <w:numPr>
          <w:ilvl w:val="1"/>
          <w:numId w:val="1"/>
        </w:numPr>
        <w:tabs>
          <w:tab w:val="left" w:pos="771"/>
        </w:tabs>
        <w:spacing w:before="1"/>
        <w:ind w:hanging="455"/>
        <w:rPr>
          <w:sz w:val="26"/>
        </w:rPr>
      </w:pPr>
      <w:r>
        <w:rPr>
          <w:sz w:val="26"/>
        </w:rPr>
        <w:t>此价格是用于有害生物防制日常服务，不包括应急防控服务。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227" w:line="448" w:lineRule="auto"/>
        <w:ind w:left="4486" w:leftChars="2039" w:right="750" w:rightChars="0" w:firstLine="2722" w:firstLineChars="1047"/>
      </w:pPr>
      <w:bookmarkStart w:id="0" w:name="_GoBack"/>
      <w:bookmarkEnd w:id="0"/>
      <w:r>
        <w:t>年</w:t>
      </w:r>
      <w:r>
        <w:rPr>
          <w:rFonts w:hint="eastAsia"/>
          <w:lang w:val="en-US"/>
        </w:rPr>
        <w:t xml:space="preserve">    </w:t>
      </w:r>
      <w:r>
        <w:t>月</w:t>
      </w:r>
      <w:r>
        <w:rPr>
          <w:rFonts w:hint="eastAsia"/>
          <w:lang w:val="en-US"/>
        </w:rPr>
        <w:t xml:space="preserve">   </w:t>
      </w:r>
      <w:r>
        <w:t>日</w:t>
      </w:r>
    </w:p>
    <w:sectPr>
      <w:pgSz w:w="11910" w:h="16840"/>
      <w:pgMar w:top="1580" w:right="960" w:bottom="860" w:left="960" w:header="0" w:footer="672" w:gutter="0"/>
      <w:pgBorders w:offsetFrom="page">
        <w:top w:val="double" w:color="000080" w:sz="4" w:space="24"/>
        <w:left w:val="double" w:color="000080" w:sz="4" w:space="24"/>
        <w:bottom w:val="double" w:color="000080" w:sz="4" w:space="24"/>
        <w:right w:val="double" w:color="000080" w:sz="4" w:space="25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6540500</wp:posOffset>
              </wp:positionH>
              <wp:positionV relativeFrom="page">
                <wp:posOffset>10125710</wp:posOffset>
              </wp:positionV>
              <wp:extent cx="214630" cy="152400"/>
              <wp:effectExtent l="0" t="0" r="0" b="0"/>
              <wp:wrapNone/>
              <wp:docPr id="1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6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15pt;margin-top:797.3pt;height:12pt;width:16.9pt;mso-position-horizontal-relative:page;mso-position-vertical-relative:page;z-index:-251656192;mso-width-relative:page;mso-height-relative:page;" filled="f" stroked="f" coordsize="21600,21600" o:gfxdata="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oEjZ2wAAAA8BAAAPAAAAAAAAAAEAIAAAACIAAABkcnMvZG93bnJldi54&#10;bWxQSwECFAAUAAAACACHTuJAoiXthb4BAACAAwAADgAAAAAAAAABACAAAAAq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770" w:hanging="454"/>
        <w:jc w:val="left"/>
      </w:pPr>
      <w:rPr>
        <w:rFonts w:hint="default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770" w:hanging="454"/>
        <w:jc w:val="left"/>
      </w:pPr>
      <w:rPr>
        <w:rFonts w:hint="default" w:ascii="楷体" w:hAnsi="楷体" w:eastAsia="楷体" w:cs="楷体"/>
        <w:w w:val="99"/>
        <w:sz w:val="26"/>
        <w:szCs w:val="26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21" w:hanging="45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41" w:hanging="45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62" w:hanging="45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83" w:hanging="45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03" w:hanging="45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224" w:hanging="45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44" w:hanging="454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6A"/>
    <w:rsid w:val="001F53C7"/>
    <w:rsid w:val="002A4036"/>
    <w:rsid w:val="0030480F"/>
    <w:rsid w:val="00515A6A"/>
    <w:rsid w:val="006A7C5D"/>
    <w:rsid w:val="37E15ECF"/>
    <w:rsid w:val="45642311"/>
    <w:rsid w:val="644F7DE6"/>
    <w:rsid w:val="65FF5293"/>
    <w:rsid w:val="7608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楷体" w:hAnsi="楷体" w:eastAsia="楷体" w:cs="楷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6"/>
      <w:szCs w:val="26"/>
    </w:r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770" w:hanging="455"/>
    </w:pPr>
  </w:style>
  <w:style w:type="paragraph" w:customStyle="1" w:styleId="10">
    <w:name w:val="Table Paragraph"/>
    <w:basedOn w:val="1"/>
    <w:qFormat/>
    <w:uiPriority w:val="1"/>
    <w:pPr>
      <w:jc w:val="center"/>
    </w:pPr>
  </w:style>
  <w:style w:type="character" w:customStyle="1" w:styleId="11">
    <w:name w:val="批注框文本 Char"/>
    <w:basedOn w:val="7"/>
    <w:link w:val="3"/>
    <w:qFormat/>
    <w:uiPriority w:val="0"/>
    <w:rPr>
      <w:rFonts w:ascii="楷体" w:hAnsi="楷体" w:eastAsia="楷体" w:cs="楷体"/>
      <w:sz w:val="18"/>
      <w:szCs w:val="18"/>
      <w:lang w:val="zh-CN" w:bidi="zh-CN"/>
    </w:rPr>
  </w:style>
  <w:style w:type="character" w:customStyle="1" w:styleId="12">
    <w:name w:val="页眉 Char"/>
    <w:basedOn w:val="7"/>
    <w:link w:val="5"/>
    <w:uiPriority w:val="0"/>
    <w:rPr>
      <w:rFonts w:ascii="楷体" w:hAnsi="楷体" w:eastAsia="楷体" w:cs="楷体"/>
      <w:sz w:val="18"/>
      <w:szCs w:val="18"/>
      <w:lang w:val="zh-CN" w:bidi="zh-CN"/>
    </w:rPr>
  </w:style>
  <w:style w:type="character" w:customStyle="1" w:styleId="13">
    <w:name w:val="页脚 Char"/>
    <w:basedOn w:val="7"/>
    <w:link w:val="4"/>
    <w:qFormat/>
    <w:uiPriority w:val="0"/>
    <w:rPr>
      <w:rFonts w:ascii="楷体" w:hAnsi="楷体" w:eastAsia="楷体" w:cs="楷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</Words>
  <Characters>433</Characters>
  <Lines>3</Lines>
  <Paragraphs>1</Paragraphs>
  <TotalTime>1</TotalTime>
  <ScaleCrop>false</ScaleCrop>
  <LinksUpToDate>false</LinksUpToDate>
  <CharactersWithSpaces>507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2020-10-13T09:35:00Z</dcterms:created>
  <dc:creator>*</dc:creator>
  <cp:lastModifiedBy>文有科</cp:lastModifiedBy>
  <dcterms:modified xsi:type="dcterms:W3CDTF">2021-11-15T09:20:25Z</dcterms:modified>
  <dc:title>杀虫剂分类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2020-10-13T00:00:00Z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675BD1AD27014CFCAC9E160C1FA3E6C9</vt:lpwstr>
  </property>
</Properties>
</file>